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典型案例要求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围绕建设重点任务或重要举措，认真凝练体制机制、方案举措、方法办法，聚焦某一方面突出成果，形成典型案例，</w:t>
      </w:r>
      <w:r>
        <w:rPr>
          <w:rFonts w:hint="eastAsia" w:ascii="Times New Roman" w:hAnsi="Times New Roman" w:eastAsia="仿宋_GB2312"/>
          <w:sz w:val="32"/>
          <w:szCs w:val="32"/>
        </w:rPr>
        <w:t>为全国高校党组织提供可复制可推广的成功经验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一、案例主题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 加强党对高校的全面领导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 </w:t>
      </w:r>
      <w:r>
        <w:rPr>
          <w:rFonts w:hint="eastAsia" w:ascii="Times New Roman" w:hAnsi="Times New Roman" w:eastAsia="仿宋_GB2312"/>
          <w:sz w:val="32"/>
          <w:szCs w:val="32"/>
        </w:rPr>
        <w:t>构建高质量党建工作体系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强化基层</w:t>
      </w:r>
      <w:r>
        <w:rPr>
          <w:rFonts w:hint="eastAsia" w:ascii="Times New Roman" w:hAnsi="Times New Roman" w:eastAsia="仿宋_GB2312"/>
          <w:sz w:val="32"/>
          <w:szCs w:val="32"/>
        </w:rPr>
        <w:t>党组织</w:t>
      </w:r>
      <w:r>
        <w:rPr>
          <w:rFonts w:ascii="Times New Roman" w:hAnsi="Times New Roman" w:eastAsia="仿宋_GB2312"/>
          <w:sz w:val="32"/>
          <w:szCs w:val="32"/>
        </w:rPr>
        <w:t>政治功能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 加强</w:t>
      </w:r>
      <w:r>
        <w:rPr>
          <w:rFonts w:hint="eastAsia" w:ascii="Times New Roman" w:hAnsi="Times New Roman" w:eastAsia="仿宋_GB2312"/>
          <w:sz w:val="32"/>
          <w:szCs w:val="32"/>
        </w:rPr>
        <w:t>党组织班子</w:t>
      </w:r>
      <w:r>
        <w:rPr>
          <w:rFonts w:ascii="Times New Roman" w:hAnsi="Times New Roman" w:eastAsia="仿宋_GB2312"/>
          <w:sz w:val="32"/>
          <w:szCs w:val="32"/>
        </w:rPr>
        <w:t>建设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 提高发展党员质量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 严格党员教育管理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 筑牢意识形态前沿阵地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8. </w:t>
      </w:r>
      <w:r>
        <w:rPr>
          <w:rFonts w:hint="eastAsia" w:ascii="Times New Roman" w:hAnsi="Times New Roman" w:eastAsia="仿宋_GB2312"/>
          <w:sz w:val="32"/>
          <w:szCs w:val="32"/>
        </w:rPr>
        <w:t>构建学生思想政治工作体系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9. </w:t>
      </w:r>
      <w:r>
        <w:rPr>
          <w:rFonts w:hint="eastAsia" w:ascii="Times New Roman" w:hAnsi="Times New Roman" w:eastAsia="仿宋_GB2312"/>
          <w:sz w:val="32"/>
          <w:szCs w:val="32"/>
        </w:rPr>
        <w:t>构建教师思想政治工作体系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10. </w:t>
      </w:r>
      <w:r>
        <w:rPr>
          <w:rFonts w:hint="eastAsia" w:ascii="Times New Roman" w:hAnsi="Times New Roman" w:eastAsia="仿宋_GB2312"/>
          <w:sz w:val="32"/>
          <w:szCs w:val="32"/>
        </w:rPr>
        <w:t>深化“三全育人”改革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11. </w:t>
      </w:r>
      <w:r>
        <w:rPr>
          <w:rFonts w:hint="eastAsia" w:ascii="Times New Roman" w:hAnsi="Times New Roman" w:eastAsia="仿宋_GB2312"/>
          <w:sz w:val="32"/>
          <w:szCs w:val="32"/>
        </w:rPr>
        <w:t>“一站式”学生社区综合管理模式建设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12. </w:t>
      </w:r>
      <w:r>
        <w:rPr>
          <w:rFonts w:hint="eastAsia" w:ascii="Times New Roman" w:hAnsi="Times New Roman" w:eastAsia="仿宋_GB2312"/>
          <w:sz w:val="32"/>
          <w:szCs w:val="32"/>
        </w:rPr>
        <w:t>心理健康宣传教育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 xml:space="preserve">3. </w:t>
      </w:r>
      <w:r>
        <w:rPr>
          <w:rFonts w:hint="eastAsia" w:ascii="Times New Roman" w:hAnsi="Times New Roman" w:eastAsia="仿宋_GB2312"/>
          <w:sz w:val="32"/>
          <w:szCs w:val="32"/>
        </w:rPr>
        <w:t>校园文化建设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/>
          <w:sz w:val="32"/>
          <w:szCs w:val="32"/>
        </w:rPr>
        <w:t>促进党建工作与事业发展深度融合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二、内容要求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仿宋_GB2312"/>
          <w:sz w:val="32"/>
          <w:szCs w:val="32"/>
        </w:rPr>
        <w:t>1．案例内容分为</w:t>
      </w:r>
      <w:r>
        <w:rPr>
          <w:rFonts w:hint="eastAsia" w:ascii="Times New Roman" w:hAnsi="Times New Roman" w:eastAsia="仿宋_GB2312"/>
          <w:sz w:val="32"/>
          <w:szCs w:val="32"/>
        </w:rPr>
        <w:t>前言、正文、结尾三部分。前言</w:t>
      </w:r>
      <w:r>
        <w:rPr>
          <w:rFonts w:ascii="Times New Roman" w:hAnsi="Times New Roman" w:eastAsia="仿宋_GB2312"/>
          <w:sz w:val="32"/>
          <w:szCs w:val="32"/>
        </w:rPr>
        <w:t>以简短事例引出案例主旨大意</w:t>
      </w:r>
      <w:r>
        <w:rPr>
          <w:rFonts w:hint="eastAsia" w:ascii="Times New Roman" w:hAnsi="Times New Roman" w:eastAsia="仿宋_GB2312"/>
          <w:sz w:val="32"/>
          <w:szCs w:val="32"/>
        </w:rPr>
        <w:t>，正文</w:t>
      </w:r>
      <w:r>
        <w:rPr>
          <w:rFonts w:ascii="Times New Roman" w:hAnsi="Times New Roman" w:eastAsia="仿宋_GB2312"/>
          <w:sz w:val="32"/>
          <w:szCs w:val="32"/>
        </w:rPr>
        <w:t>介绍案例主要内容和做法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结尾对案例特点进行</w:t>
      </w:r>
      <w:r>
        <w:rPr>
          <w:rFonts w:hint="eastAsia" w:ascii="Times New Roman" w:hAnsi="Times New Roman" w:eastAsia="仿宋_GB2312"/>
          <w:sz w:val="32"/>
          <w:szCs w:val="32"/>
        </w:rPr>
        <w:t>总结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案例</w:t>
      </w:r>
      <w:r>
        <w:rPr>
          <w:rFonts w:ascii="Times New Roman" w:hAnsi="Times New Roman" w:eastAsia="仿宋_GB2312"/>
          <w:sz w:val="32"/>
          <w:szCs w:val="32"/>
        </w:rPr>
        <w:t>以第三人称撰写</w:t>
      </w:r>
      <w:r>
        <w:rPr>
          <w:rFonts w:hint="eastAsia" w:ascii="Times New Roman" w:hAnsi="Times New Roman" w:eastAsia="仿宋_GB2312"/>
          <w:sz w:val="32"/>
          <w:szCs w:val="32"/>
        </w:rPr>
        <w:t>，要求主题鲜明、重点突出、内容翔实、条理清晰，文字鲜活、精炼，经验做法可复制可推广。</w:t>
      </w:r>
      <w:r>
        <w:rPr>
          <w:rFonts w:ascii="Times New Roman" w:hAnsi="Times New Roman" w:eastAsia="仿宋_GB2312"/>
          <w:sz w:val="32"/>
          <w:szCs w:val="32"/>
        </w:rPr>
        <w:t>单位名称、时间符合规范用法，不用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我校</w:t>
      </w:r>
      <w:r>
        <w:rPr>
          <w:rFonts w:hint="eastAsia" w:ascii="Times New Roman" w:hAnsi="Times New Roman" w:eastAsia="仿宋_GB2312"/>
          <w:sz w:val="32"/>
          <w:szCs w:val="32"/>
        </w:rPr>
        <w:t>”“</w:t>
      </w:r>
      <w:r>
        <w:rPr>
          <w:rFonts w:ascii="Times New Roman" w:hAnsi="Times New Roman" w:eastAsia="仿宋_GB2312"/>
          <w:sz w:val="32"/>
          <w:szCs w:val="32"/>
        </w:rPr>
        <w:t>我院</w:t>
      </w:r>
      <w:r>
        <w:rPr>
          <w:rFonts w:hint="eastAsia" w:ascii="Times New Roman" w:hAnsi="Times New Roman" w:eastAsia="仿宋_GB2312"/>
          <w:sz w:val="32"/>
          <w:szCs w:val="32"/>
        </w:rPr>
        <w:t>”“</w:t>
      </w:r>
      <w:r>
        <w:rPr>
          <w:rFonts w:ascii="Times New Roman" w:hAnsi="Times New Roman" w:eastAsia="仿宋_GB2312"/>
          <w:sz w:val="32"/>
          <w:szCs w:val="32"/>
        </w:rPr>
        <w:t>今年</w:t>
      </w:r>
      <w:r>
        <w:rPr>
          <w:rFonts w:hint="eastAsia" w:ascii="Times New Roman" w:hAnsi="Times New Roman" w:eastAsia="仿宋_GB2312"/>
          <w:sz w:val="32"/>
          <w:szCs w:val="32"/>
        </w:rPr>
        <w:t>”“</w:t>
      </w:r>
      <w:r>
        <w:rPr>
          <w:rFonts w:ascii="Times New Roman" w:hAnsi="Times New Roman" w:eastAsia="仿宋_GB2312"/>
          <w:sz w:val="32"/>
          <w:szCs w:val="32"/>
        </w:rPr>
        <w:t>去年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等表述，如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</w:rPr>
        <w:t>表述</w:t>
      </w:r>
      <w:r>
        <w:rPr>
          <w:rFonts w:ascii="Times New Roman" w:hAnsi="Times New Roman" w:eastAsia="仿宋_GB2312"/>
          <w:sz w:val="32"/>
          <w:szCs w:val="32"/>
        </w:rPr>
        <w:t>使用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2021年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等字样。</w:t>
      </w:r>
      <w:r>
        <w:rPr>
          <w:rFonts w:hint="eastAsia" w:ascii="Times New Roman" w:hAnsi="Times New Roman" w:eastAsia="仿宋_GB2312"/>
          <w:sz w:val="32"/>
          <w:szCs w:val="32"/>
        </w:rPr>
        <w:t>总</w:t>
      </w:r>
      <w:r>
        <w:rPr>
          <w:rFonts w:ascii="Times New Roman" w:hAnsi="Times New Roman" w:eastAsia="仿宋_GB2312"/>
          <w:sz w:val="32"/>
          <w:szCs w:val="32"/>
        </w:rPr>
        <w:t>字数</w:t>
      </w:r>
      <w:r>
        <w:rPr>
          <w:rFonts w:hint="eastAsia" w:ascii="Times New Roman" w:hAnsi="Times New Roman" w:eastAsia="仿宋_GB2312"/>
          <w:sz w:val="32"/>
          <w:szCs w:val="32"/>
        </w:rPr>
        <w:t>不超过</w:t>
      </w:r>
      <w:r>
        <w:rPr>
          <w:rFonts w:ascii="Times New Roman" w:hAnsi="Times New Roman" w:eastAsia="仿宋_GB2312"/>
          <w:sz w:val="32"/>
          <w:szCs w:val="32"/>
        </w:rPr>
        <w:t>2000字。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．案例标题</w:t>
      </w:r>
      <w:r>
        <w:rPr>
          <w:rFonts w:hint="eastAsia" w:ascii="Times New Roman" w:hAnsi="Times New Roman" w:eastAsia="仿宋_GB2312"/>
          <w:sz w:val="32"/>
          <w:szCs w:val="32"/>
        </w:rPr>
        <w:t>控制在</w:t>
      </w:r>
      <w:r>
        <w:rPr>
          <w:rFonts w:ascii="Times New Roman" w:hAnsi="Times New Roman" w:eastAsia="仿宋_GB2312"/>
          <w:sz w:val="32"/>
          <w:szCs w:val="32"/>
        </w:rPr>
        <w:t>20字以内，高度概括案例内容。</w:t>
      </w:r>
      <w:r>
        <w:rPr>
          <w:rFonts w:hint="eastAsia" w:ascii="Times New Roman" w:hAnsi="Times New Roman" w:eastAsia="仿宋_GB2312"/>
          <w:sz w:val="32"/>
          <w:szCs w:val="32"/>
        </w:rPr>
        <w:t>正文需</w:t>
      </w:r>
      <w:r>
        <w:rPr>
          <w:rFonts w:ascii="Times New Roman" w:hAnsi="Times New Roman" w:eastAsia="仿宋_GB2312"/>
          <w:sz w:val="32"/>
          <w:szCs w:val="32"/>
        </w:rPr>
        <w:t>有小标题，突出亮点。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</w:t>
      </w:r>
      <w:r>
        <w:rPr>
          <w:rFonts w:ascii="Times New Roman" w:hAnsi="Times New Roman" w:eastAsia="仿宋_GB2312"/>
          <w:sz w:val="32"/>
          <w:szCs w:val="32"/>
        </w:rPr>
        <w:t>．案例配图</w:t>
      </w:r>
      <w:r>
        <w:rPr>
          <w:rFonts w:hint="eastAsia" w:ascii="Times New Roman" w:hAnsi="Times New Roman" w:eastAsia="仿宋_GB2312"/>
          <w:sz w:val="32"/>
          <w:szCs w:val="32"/>
        </w:rPr>
        <w:t>不超过5</w:t>
      </w:r>
      <w:r>
        <w:rPr>
          <w:rFonts w:ascii="Times New Roman" w:hAnsi="Times New Roman" w:eastAsia="仿宋_GB2312"/>
          <w:sz w:val="32"/>
          <w:szCs w:val="32"/>
        </w:rPr>
        <w:t>张，图片内容与案例</w:t>
      </w:r>
      <w:r>
        <w:rPr>
          <w:rFonts w:hint="eastAsia" w:ascii="Times New Roman" w:hAnsi="Times New Roman" w:eastAsia="仿宋_GB2312"/>
          <w:sz w:val="32"/>
          <w:szCs w:val="32"/>
        </w:rPr>
        <w:t>密切</w:t>
      </w:r>
      <w:r>
        <w:rPr>
          <w:rFonts w:ascii="Times New Roman" w:hAnsi="Times New Roman" w:eastAsia="仿宋_GB2312"/>
          <w:sz w:val="32"/>
          <w:szCs w:val="32"/>
        </w:rPr>
        <w:t>相关，</w:t>
      </w:r>
      <w:r>
        <w:rPr>
          <w:rFonts w:hint="eastAsia" w:ascii="Times New Roman" w:hAnsi="Times New Roman" w:eastAsia="仿宋_GB2312"/>
          <w:sz w:val="32"/>
          <w:szCs w:val="32"/>
        </w:rPr>
        <w:t>主题</w:t>
      </w:r>
      <w:r>
        <w:rPr>
          <w:rFonts w:ascii="Times New Roman" w:hAnsi="Times New Roman" w:eastAsia="仿宋_GB2312"/>
          <w:sz w:val="32"/>
          <w:szCs w:val="32"/>
        </w:rPr>
        <w:t>突出，不使用表彰类会议照。</w:t>
      </w:r>
      <w:r>
        <w:rPr>
          <w:rFonts w:hint="eastAsia" w:ascii="Times New Roman" w:hAnsi="Times New Roman" w:eastAsia="仿宋_GB2312"/>
          <w:sz w:val="32"/>
          <w:szCs w:val="32"/>
        </w:rPr>
        <w:t>每张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图片配50字以内文字说明，或直接以说明命名图片名称。</w:t>
      </w:r>
      <w:r>
        <w:rPr>
          <w:rFonts w:ascii="Times New Roman" w:hAnsi="Times New Roman" w:eastAsia="仿宋_GB2312"/>
          <w:sz w:val="32"/>
          <w:szCs w:val="32"/>
        </w:rPr>
        <w:t>图片为高清图，2M以上，RGB色彩模式。图片作为支撑材料单独上传</w:t>
      </w:r>
      <w:r>
        <w:rPr>
          <w:rFonts w:hint="eastAsia" w:ascii="Times New Roman" w:hAnsi="Times New Roman" w:eastAsia="仿宋_GB2312"/>
          <w:sz w:val="32"/>
          <w:szCs w:val="32"/>
        </w:rPr>
        <w:t>，不得插入案例文本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．标题</w:t>
      </w:r>
      <w:r>
        <w:rPr>
          <w:rFonts w:hint="eastAsia" w:ascii="Times New Roman" w:hAnsi="Times New Roman" w:eastAsia="仿宋_GB2312"/>
          <w:sz w:val="32"/>
          <w:szCs w:val="32"/>
        </w:rPr>
        <w:t>使用</w:t>
      </w:r>
      <w:r>
        <w:rPr>
          <w:rFonts w:ascii="Times New Roman" w:hAnsi="Times New Roman" w:eastAsia="仿宋_GB2312"/>
          <w:sz w:val="32"/>
          <w:szCs w:val="32"/>
        </w:rPr>
        <w:t>方正小标宋简体字体，二号字</w:t>
      </w:r>
      <w:r>
        <w:rPr>
          <w:rFonts w:hint="eastAsia" w:ascii="Times New Roman" w:hAnsi="Times New Roman" w:eastAsia="仿宋_GB2312"/>
          <w:sz w:val="32"/>
          <w:szCs w:val="32"/>
        </w:rPr>
        <w:t>，不加粗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一级</w:t>
      </w:r>
      <w:r>
        <w:rPr>
          <w:rFonts w:ascii="Times New Roman" w:hAnsi="Times New Roman" w:eastAsia="仿宋_GB2312"/>
          <w:sz w:val="32"/>
          <w:szCs w:val="32"/>
        </w:rPr>
        <w:t>标题</w:t>
      </w:r>
      <w:r>
        <w:rPr>
          <w:rFonts w:hint="eastAsia" w:ascii="Times New Roman" w:hAnsi="Times New Roman" w:eastAsia="仿宋_GB2312"/>
          <w:sz w:val="32"/>
          <w:szCs w:val="32"/>
        </w:rPr>
        <w:t>使用黑</w:t>
      </w:r>
      <w:r>
        <w:rPr>
          <w:rFonts w:ascii="Times New Roman" w:hAnsi="Times New Roman" w:eastAsia="仿宋_GB2312"/>
          <w:sz w:val="32"/>
          <w:szCs w:val="32"/>
        </w:rPr>
        <w:t>体，三号字，</w:t>
      </w:r>
      <w:r>
        <w:rPr>
          <w:rFonts w:hint="eastAsia" w:ascii="Times New Roman" w:hAnsi="Times New Roman" w:eastAsia="仿宋_GB2312"/>
          <w:sz w:val="32"/>
          <w:szCs w:val="32"/>
        </w:rPr>
        <w:t>不</w:t>
      </w:r>
      <w:r>
        <w:rPr>
          <w:rFonts w:ascii="Times New Roman" w:hAnsi="Times New Roman" w:eastAsia="仿宋_GB2312"/>
          <w:sz w:val="32"/>
          <w:szCs w:val="32"/>
        </w:rPr>
        <w:t>加粗</w:t>
      </w:r>
      <w:r>
        <w:rPr>
          <w:rFonts w:hint="eastAsia" w:ascii="Times New Roman" w:hAnsi="Times New Roman" w:eastAsia="仿宋_GB2312"/>
          <w:sz w:val="32"/>
          <w:szCs w:val="32"/>
        </w:rPr>
        <w:t>；二级</w:t>
      </w:r>
      <w:r>
        <w:rPr>
          <w:rFonts w:ascii="Times New Roman" w:hAnsi="Times New Roman" w:eastAsia="仿宋_GB2312"/>
          <w:sz w:val="32"/>
          <w:szCs w:val="32"/>
        </w:rPr>
        <w:t>标题</w:t>
      </w:r>
      <w:r>
        <w:rPr>
          <w:rFonts w:hint="eastAsia" w:ascii="Times New Roman" w:hAnsi="Times New Roman" w:eastAsia="仿宋_GB2312"/>
          <w:sz w:val="32"/>
          <w:szCs w:val="32"/>
        </w:rPr>
        <w:t>使用楷</w:t>
      </w:r>
      <w:r>
        <w:rPr>
          <w:rFonts w:ascii="Times New Roman" w:hAnsi="Times New Roman" w:eastAsia="仿宋_GB2312"/>
          <w:sz w:val="32"/>
          <w:szCs w:val="32"/>
        </w:rPr>
        <w:t>体，三号字，加粗</w:t>
      </w:r>
      <w:r>
        <w:rPr>
          <w:rFonts w:hint="eastAsia" w:ascii="Times New Roman" w:hAnsi="Times New Roman" w:eastAsia="仿宋_GB2312"/>
          <w:sz w:val="32"/>
          <w:szCs w:val="32"/>
        </w:rPr>
        <w:t>；三级标题使用</w:t>
      </w:r>
      <w:r>
        <w:rPr>
          <w:rFonts w:ascii="Times New Roman" w:hAnsi="Times New Roman" w:eastAsia="仿宋_GB2312"/>
          <w:sz w:val="32"/>
          <w:szCs w:val="32"/>
        </w:rPr>
        <w:t>仿宋简体，三号字，</w:t>
      </w:r>
      <w:r>
        <w:rPr>
          <w:rFonts w:hint="eastAsia" w:ascii="Times New Roman" w:hAnsi="Times New Roman" w:eastAsia="仿宋_GB2312"/>
          <w:sz w:val="32"/>
          <w:szCs w:val="32"/>
        </w:rPr>
        <w:t>加粗</w:t>
      </w:r>
      <w:r>
        <w:rPr>
          <w:rFonts w:ascii="Times New Roman" w:hAnsi="Times New Roman" w:eastAsia="仿宋_GB2312"/>
          <w:sz w:val="32"/>
          <w:szCs w:val="32"/>
        </w:rPr>
        <w:t>。正文</w:t>
      </w:r>
      <w:r>
        <w:rPr>
          <w:rFonts w:hint="eastAsia" w:ascii="Times New Roman" w:hAnsi="Times New Roman" w:eastAsia="仿宋_GB2312"/>
          <w:sz w:val="32"/>
          <w:szCs w:val="32"/>
        </w:rPr>
        <w:t>使用</w:t>
      </w:r>
      <w:r>
        <w:rPr>
          <w:rFonts w:ascii="Times New Roman" w:hAnsi="Times New Roman" w:eastAsia="仿宋_GB2312"/>
          <w:sz w:val="32"/>
          <w:szCs w:val="32"/>
        </w:rPr>
        <w:t>仿宋简体，三号字，</w:t>
      </w:r>
      <w:r>
        <w:rPr>
          <w:rFonts w:hint="eastAsia" w:ascii="Times New Roman" w:hAnsi="Times New Roman" w:eastAsia="仿宋_GB2312"/>
          <w:sz w:val="32"/>
          <w:szCs w:val="32"/>
        </w:rPr>
        <w:t>不加粗。全文</w:t>
      </w:r>
      <w:r>
        <w:rPr>
          <w:rFonts w:ascii="Times New Roman" w:hAnsi="Times New Roman" w:eastAsia="仿宋_GB2312"/>
          <w:sz w:val="32"/>
          <w:szCs w:val="32"/>
        </w:rPr>
        <w:t>单倍行距。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三、报送要求</w:t>
      </w:r>
    </w:p>
    <w:p>
      <w:pPr>
        <w:pStyle w:val="4"/>
        <w:widowControl/>
        <w:ind w:firstLine="6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．案例</w:t>
      </w:r>
      <w:r>
        <w:rPr>
          <w:rFonts w:hint="eastAsia" w:ascii="Times New Roman" w:hAnsi="Times New Roman" w:eastAsia="仿宋_GB2312"/>
          <w:sz w:val="32"/>
          <w:szCs w:val="32"/>
        </w:rPr>
        <w:t>文档</w:t>
      </w:r>
      <w:r>
        <w:rPr>
          <w:rFonts w:ascii="Times New Roman" w:hAnsi="Times New Roman" w:eastAsia="仿宋_GB2312"/>
          <w:sz w:val="32"/>
          <w:szCs w:val="32"/>
        </w:rPr>
        <w:t>命名规则：第×主题_××大学_案例名称。</w:t>
      </w:r>
    </w:p>
    <w:p>
      <w:pPr>
        <w:pStyle w:val="4"/>
        <w:widowControl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1"/>
          <w:szCs w:val="31"/>
        </w:rPr>
        <w:t>2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1"/>
          <w:szCs w:val="31"/>
        </w:rPr>
        <w:t>案例</w:t>
      </w:r>
      <w:r>
        <w:rPr>
          <w:rFonts w:ascii="Times New Roman" w:hAnsi="Times New Roman" w:eastAsia="仿宋_GB2312"/>
          <w:sz w:val="31"/>
          <w:szCs w:val="31"/>
        </w:rPr>
        <w:t>一经报送，即表明高校（作者）同意将</w:t>
      </w:r>
      <w:r>
        <w:rPr>
          <w:rFonts w:hint="eastAsia" w:ascii="Times New Roman" w:hAnsi="Times New Roman" w:eastAsia="仿宋_GB2312"/>
          <w:sz w:val="31"/>
          <w:szCs w:val="31"/>
        </w:rPr>
        <w:t>案例</w:t>
      </w:r>
      <w:r>
        <w:rPr>
          <w:rFonts w:ascii="Times New Roman" w:hAnsi="Times New Roman" w:eastAsia="仿宋_GB2312"/>
          <w:sz w:val="31"/>
          <w:szCs w:val="31"/>
        </w:rPr>
        <w:t>使用权授予高校</w:t>
      </w:r>
      <w:r>
        <w:rPr>
          <w:rFonts w:hint="eastAsia" w:ascii="Times New Roman" w:hAnsi="Times New Roman" w:eastAsia="仿宋_GB2312"/>
          <w:sz w:val="31"/>
          <w:szCs w:val="31"/>
        </w:rPr>
        <w:t>思</w:t>
      </w:r>
      <w:r>
        <w:rPr>
          <w:rFonts w:ascii="Times New Roman" w:hAnsi="Times New Roman" w:eastAsia="仿宋_GB2312"/>
          <w:sz w:val="31"/>
          <w:szCs w:val="31"/>
        </w:rPr>
        <w:t>政网。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黑体"/>
          <w:sz w:val="32"/>
          <w:szCs w:val="36"/>
        </w:rPr>
      </w:pPr>
      <w:r>
        <w:rPr>
          <w:rFonts w:hint="eastAsia" w:ascii="Times New Roman" w:hAnsi="Times New Roman" w:eastAsia="黑体"/>
          <w:sz w:val="32"/>
          <w:szCs w:val="36"/>
        </w:rPr>
        <w:t>四</w:t>
      </w:r>
      <w:r>
        <w:rPr>
          <w:rFonts w:ascii="Times New Roman" w:hAnsi="Times New Roman" w:eastAsia="黑体"/>
          <w:sz w:val="32"/>
          <w:szCs w:val="36"/>
        </w:rPr>
        <w:t>、</w:t>
      </w:r>
      <w:r>
        <w:rPr>
          <w:rFonts w:hint="eastAsia" w:ascii="Times New Roman" w:hAnsi="Times New Roman" w:eastAsia="黑体"/>
          <w:sz w:val="32"/>
          <w:szCs w:val="36"/>
        </w:rPr>
        <w:t>案例用途</w:t>
      </w:r>
    </w:p>
    <w:p>
      <w:pPr>
        <w:pStyle w:val="4"/>
        <w:ind w:firstLine="645"/>
        <w:rPr>
          <w:rFonts w:ascii="Times New Roman" w:hAnsi="Times New Roman" w:eastAsia="黑体"/>
          <w:sz w:val="32"/>
          <w:szCs w:val="36"/>
        </w:rPr>
      </w:pPr>
      <w:r>
        <w:rPr>
          <w:rFonts w:ascii="Times New Roman" w:hAnsi="Times New Roman" w:eastAsia="仿宋_GB2312"/>
          <w:sz w:val="31"/>
          <w:szCs w:val="31"/>
        </w:rPr>
        <w:t>高校</w:t>
      </w:r>
      <w:r>
        <w:rPr>
          <w:rFonts w:hint="eastAsia" w:ascii="Times New Roman" w:hAnsi="Times New Roman" w:eastAsia="仿宋_GB2312"/>
          <w:sz w:val="31"/>
          <w:szCs w:val="31"/>
        </w:rPr>
        <w:t>思</w:t>
      </w:r>
      <w:r>
        <w:rPr>
          <w:rFonts w:ascii="Times New Roman" w:hAnsi="Times New Roman" w:eastAsia="仿宋_GB2312"/>
          <w:sz w:val="31"/>
          <w:szCs w:val="31"/>
        </w:rPr>
        <w:t>政网</w:t>
      </w:r>
      <w:r>
        <w:rPr>
          <w:rFonts w:hint="eastAsia" w:ascii="Times New Roman" w:hAnsi="Times New Roman" w:eastAsia="仿宋_GB2312" w:cs="仿宋_GB2312"/>
          <w:sz w:val="31"/>
          <w:szCs w:val="31"/>
        </w:rPr>
        <w:t>将组织专家对典型案例进行遴选，择优纳入《高校党组织工作案例库》并颁发证书，设立高校党组织工作案例宣传展示专栏，扩大案例的影响力和辐射面。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662B6"/>
    <w:rsid w:val="7CE6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2021-12-28T04:03:00Z</dcterms:created>
  <dc:creator>shytype</dc:creator>
  <cp:lastModifiedBy>shytype</cp:lastModifiedBy>
  <dcterms:modified xsi:type="dcterms:W3CDTF">2021-12-28T04:03:15Z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0330075F7BB44237926CFDAFB24E1C64</vt:lpwstr>
  </property>
</Properties>
</file>